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324228" w14:textId="77777777" w:rsidR="00F64FB8" w:rsidRDefault="00F64FB8" w:rsidP="00F64FB8">
      <w:pPr>
        <w:rPr>
          <w:sz w:val="22"/>
          <w:szCs w:val="22"/>
          <w:lang w:val="en-US"/>
        </w:rPr>
      </w:pPr>
      <w:r>
        <w:rPr>
          <w:sz w:val="22"/>
          <w:szCs w:val="22"/>
          <w:u w:val="single"/>
          <w:lang w:val="en-US"/>
        </w:rPr>
        <w:t>Supplementary Table S1</w:t>
      </w:r>
      <w:r>
        <w:rPr>
          <w:sz w:val="22"/>
          <w:szCs w:val="22"/>
          <w:lang w:val="en-US"/>
        </w:rPr>
        <w:t>: Changes of clinical, laboratory and imaging parameters in all included patients (total study population) (n=31)</w:t>
      </w:r>
    </w:p>
    <w:p w14:paraId="6620C81A" w14:textId="77777777" w:rsidR="00F64FB8" w:rsidRDefault="00F64FB8" w:rsidP="00F64FB8">
      <w:pPr>
        <w:rPr>
          <w:sz w:val="22"/>
          <w:szCs w:val="22"/>
          <w:lang w:val="en-US"/>
        </w:rPr>
      </w:pPr>
    </w:p>
    <w:p w14:paraId="12A989E7" w14:textId="77777777" w:rsidR="00F64FB8" w:rsidRDefault="00F64FB8" w:rsidP="00F64FB8">
      <w:pPr>
        <w:rPr>
          <w:sz w:val="22"/>
          <w:szCs w:val="22"/>
          <w:lang w:val="en-US"/>
        </w:rPr>
      </w:pPr>
      <w:r>
        <w:rPr>
          <w:noProof/>
          <w:lang w:eastAsia="de-DE"/>
        </w:rPr>
        <w:drawing>
          <wp:inline distT="0" distB="0" distL="0" distR="0" wp14:anchorId="50C4E7CD" wp14:editId="2CFD8901">
            <wp:extent cx="4381500" cy="802005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D1C3172" w14:textId="77777777" w:rsidR="00F64FB8" w:rsidRDefault="00F64FB8" w:rsidP="00F64FB8">
      <w:pPr>
        <w:ind w:left="363"/>
        <w:rPr>
          <w:sz w:val="20"/>
          <w:szCs w:val="20"/>
          <w:lang w:val="en-US"/>
        </w:rPr>
      </w:pPr>
      <w:r>
        <w:rPr>
          <w:lang w:val="en-US"/>
        </w:rPr>
        <w:br w:type="textWrapping" w:clear="all"/>
      </w:r>
      <w:r>
        <w:rPr>
          <w:b/>
          <w:sz w:val="20"/>
          <w:szCs w:val="20"/>
          <w:lang w:val="en-US"/>
        </w:rPr>
        <w:t>Table S1: Changes of clinical, laboratory, US and FOI parameter over 12 months after RTX therapy in total study population</w:t>
      </w:r>
      <w:r>
        <w:rPr>
          <w:sz w:val="20"/>
          <w:szCs w:val="20"/>
          <w:lang w:val="en-US"/>
        </w:rPr>
        <w:t xml:space="preserve">: mean ± standard deviation (median); 95% confidence interval (12 months column); </w:t>
      </w:r>
      <w:r>
        <w:rPr>
          <w:sz w:val="20"/>
          <w:szCs w:val="20"/>
          <w:lang w:val="en-US"/>
        </w:rPr>
        <w:lastRenderedPageBreak/>
        <w:t>beta as change after 12 months (12 months column); *p-value for significant change over time; DAS28 = Disease Activity Score 28; VAS = Visual analogue scale (0-100mm); CRP = C-reactive protein (mg/l); ESR = Erythrocyte sedimentation rate (mm/hour); US7 = Ultrasound seven joint score; GS = Greyscale; PD = power Doppler; FOI = Fluorescence Optical Imaging; PVM = Prima Vista Mode; P1,2,3 = FOI phases 1,2,3</w:t>
      </w:r>
    </w:p>
    <w:p w14:paraId="0DA1A3AE" w14:textId="77777777" w:rsidR="00F64FB8" w:rsidRDefault="00F64FB8" w:rsidP="00F64FB8">
      <w:pPr>
        <w:ind w:left="363"/>
        <w:rPr>
          <w:sz w:val="20"/>
          <w:szCs w:val="20"/>
          <w:lang w:val="en-US"/>
        </w:rPr>
      </w:pPr>
    </w:p>
    <w:p w14:paraId="0D1105B5" w14:textId="77777777" w:rsidR="00F64FB8" w:rsidRDefault="00F64FB8" w:rsidP="00F64FB8">
      <w:pPr>
        <w:ind w:left="363"/>
        <w:rPr>
          <w:sz w:val="20"/>
          <w:szCs w:val="20"/>
          <w:lang w:val="en-US"/>
        </w:rPr>
      </w:pPr>
      <w:r>
        <w:rPr>
          <w:sz w:val="20"/>
          <w:szCs w:val="20"/>
          <w:u w:val="single"/>
          <w:lang w:val="en-US"/>
        </w:rPr>
        <w:t>Supplementary Figure S2</w:t>
      </w:r>
      <w:r>
        <w:rPr>
          <w:sz w:val="20"/>
          <w:szCs w:val="20"/>
          <w:lang w:val="en-US"/>
        </w:rPr>
        <w:t>: Course of significant parameter decrease within follow-up in total population (n=31)</w:t>
      </w:r>
    </w:p>
    <w:p w14:paraId="6114ACC5" w14:textId="77777777" w:rsidR="00F64FB8" w:rsidRDefault="00F64FB8" w:rsidP="00F64FB8">
      <w:pPr>
        <w:ind w:left="363"/>
        <w:rPr>
          <w:sz w:val="20"/>
          <w:szCs w:val="20"/>
          <w:lang w:val="en-US"/>
        </w:rPr>
      </w:pPr>
    </w:p>
    <w:p w14:paraId="7134EE5C" w14:textId="77777777" w:rsidR="00F64FB8" w:rsidRDefault="00F64FB8" w:rsidP="00F64FB8">
      <w:pPr>
        <w:ind w:left="363"/>
        <w:rPr>
          <w:rFonts w:ascii="Arial" w:hAnsi="Arial" w:cs="Arial"/>
          <w:b/>
          <w:sz w:val="20"/>
          <w:szCs w:val="20"/>
          <w:lang w:val="en-US"/>
        </w:rPr>
      </w:pPr>
      <w:r>
        <w:rPr>
          <w:noProof/>
          <w:sz w:val="20"/>
          <w:szCs w:val="20"/>
          <w:lang w:eastAsia="de-DE"/>
        </w:rPr>
        <w:drawing>
          <wp:inline distT="0" distB="0" distL="0" distR="0" wp14:anchorId="157DA390" wp14:editId="0FF887A2">
            <wp:extent cx="5756910" cy="4317683"/>
            <wp:effectExtent l="0" t="0" r="0" b="6985"/>
            <wp:docPr id="1" name="Grafik 1" descr="C:\Users\c12mw-rh-amb-26\Desktop\SupplementalFigur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12mw-rh-amb-26\Desktop\SupplementalFigure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317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n-US"/>
        </w:rPr>
        <w:t xml:space="preserve"> </w:t>
      </w:r>
    </w:p>
    <w:p w14:paraId="16A935BD" w14:textId="77777777" w:rsidR="00F64FB8" w:rsidRDefault="00F64FB8" w:rsidP="00F64FB8">
      <w:pPr>
        <w:ind w:left="363"/>
        <w:rPr>
          <w:rFonts w:ascii="Arial" w:hAnsi="Arial" w:cs="Arial"/>
          <w:b/>
          <w:sz w:val="20"/>
          <w:szCs w:val="20"/>
          <w:lang w:val="en-US"/>
        </w:rPr>
      </w:pPr>
    </w:p>
    <w:p w14:paraId="747F3FF1" w14:textId="77777777" w:rsidR="00F64FB8" w:rsidRDefault="00F64FB8" w:rsidP="00F64FB8">
      <w:pPr>
        <w:ind w:left="363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Figure S2: Course of significant parameter decrease within follow-up in total population (n=31): mean ± standard deviation (median)</w:t>
      </w:r>
      <w:r>
        <w:rPr>
          <w:sz w:val="20"/>
          <w:szCs w:val="20"/>
          <w:lang w:val="en-US"/>
        </w:rPr>
        <w:t>: 95% confidence interval (12 months column); beta as change ; p-value for significant change over time; DAS28 = Disease Activity Score 28; VAS = Visual analogue scale (0-100mm); US7 = Ultrasound seven joint score; GS = Greyscale; PD = power Doppler.</w:t>
      </w:r>
    </w:p>
    <w:p w14:paraId="0423BC41" w14:textId="77777777" w:rsidR="00395A21" w:rsidRDefault="00395A21"/>
    <w:sectPr w:rsidR="00395A2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FB8"/>
    <w:rsid w:val="00395A21"/>
    <w:rsid w:val="00F6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AEE02"/>
  <w15:chartTrackingRefBased/>
  <w15:docId w15:val="{017C102B-0EA8-4C87-AFDC-F63A3FE2C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64FB8"/>
    <w:pPr>
      <w:spacing w:after="0" w:line="240" w:lineRule="auto"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saraho</dc:creator>
  <cp:keywords/>
  <dc:description/>
  <cp:lastModifiedBy>saraho</cp:lastModifiedBy>
  <cp:revision>1</cp:revision>
  <dcterms:created xsi:type="dcterms:W3CDTF">2020-03-15T16:04:00Z</dcterms:created>
  <dcterms:modified xsi:type="dcterms:W3CDTF">2020-03-15T16:05:00Z</dcterms:modified>
</cp:coreProperties>
</file>